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84" w:rsidRPr="00A8744D" w:rsidRDefault="001A2D84" w:rsidP="001A2D84">
      <w:pPr>
        <w:pStyle w:val="a3"/>
        <w:spacing w:before="0" w:beforeAutospacing="0" w:after="300" w:afterAutospacing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744D">
        <w:rPr>
          <w:rFonts w:ascii="Liberation Serif" w:hAnsi="Liberation Serif" w:cs="Liberation Serif"/>
          <w:b/>
          <w:sz w:val="28"/>
          <w:szCs w:val="28"/>
        </w:rPr>
        <w:t>Технология  игрового обучения</w:t>
      </w:r>
    </w:p>
    <w:p w:rsidR="001A2D84" w:rsidRDefault="001A2D84" w:rsidP="001A2D84">
      <w:pPr>
        <w:pStyle w:val="a3"/>
        <w:spacing w:before="0" w:beforeAutospacing="0" w:after="30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8744D">
        <w:rPr>
          <w:rFonts w:ascii="Liberation Serif" w:hAnsi="Liberation Serif" w:cs="Liberation Serif"/>
          <w:sz w:val="28"/>
          <w:szCs w:val="28"/>
        </w:rPr>
        <w:t>Виды игр, которые используются в инновационной деятельности, очень разнообразны. Они могут различаться:</w:t>
      </w:r>
    </w:p>
    <w:p w:rsidR="001A2D84" w:rsidRDefault="001A2D84" w:rsidP="001A2D84">
      <w:pPr>
        <w:pStyle w:val="a3"/>
        <w:spacing w:before="0" w:beforeAutospacing="0" w:after="30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1A2D84" w:rsidRDefault="001A2D84" w:rsidP="001A2D84">
      <w:pPr>
        <w:pStyle w:val="a3"/>
        <w:spacing w:before="0" w:beforeAutospacing="0" w:after="300" w:afterAutospacing="0"/>
        <w:jc w:val="both"/>
        <w:rPr>
          <w:rFonts w:ascii="Liberation Serif" w:hAnsi="Liberation Serif" w:cs="Liberation Serif"/>
          <w:color w:val="1B1C2A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45720</wp:posOffset>
            </wp:positionV>
            <wp:extent cx="2305050" cy="1928495"/>
            <wp:effectExtent l="19050" t="0" r="0" b="0"/>
            <wp:wrapSquare wrapText="bothSides"/>
            <wp:docPr id="3" name="Рисунок 3" descr="1678479119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784791193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D84" w:rsidRPr="00A8744D" w:rsidRDefault="001A2D84" w:rsidP="001A2D84">
      <w:pPr>
        <w:pStyle w:val="a3"/>
        <w:spacing w:before="0" w:beforeAutospacing="0" w:after="300" w:afterAutospacing="0"/>
        <w:jc w:val="center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По виду деятельности: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 xml:space="preserve">двигательные; </w:t>
      </w:r>
    </w:p>
    <w:p w:rsidR="001A2D84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интеллектуальные;</w:t>
      </w:r>
    </w:p>
    <w:p w:rsidR="001A2D84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>
        <w:rPr>
          <w:rFonts w:ascii="Liberation Serif" w:hAnsi="Liberation Serif" w:cs="Liberation Serif"/>
          <w:color w:val="1B1C2A"/>
          <w:sz w:val="28"/>
          <w:szCs w:val="28"/>
        </w:rPr>
        <w:t>психологические и т.д.</w:t>
      </w:r>
    </w:p>
    <w:p w:rsidR="001A2D84" w:rsidRPr="00A8744D" w:rsidRDefault="001A2D84" w:rsidP="001A2D84">
      <w:pPr>
        <w:spacing w:before="100" w:beforeAutospacing="1" w:after="100" w:afterAutospacing="1"/>
        <w:rPr>
          <w:rFonts w:ascii="Liberation Serif" w:hAnsi="Liberation Serif" w:cs="Liberation Serif"/>
          <w:color w:val="1B1C2A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419735</wp:posOffset>
            </wp:positionV>
            <wp:extent cx="2105025" cy="2619375"/>
            <wp:effectExtent l="19050" t="0" r="9525" b="0"/>
            <wp:wrapSquare wrapText="bothSides"/>
            <wp:docPr id="4" name="Рисунок 4" descr="167847911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784791194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D84" w:rsidRPr="00A8744D" w:rsidRDefault="001A2D84" w:rsidP="001A2D84">
      <w:pPr>
        <w:spacing w:before="100" w:beforeAutospacing="1" w:after="100" w:afterAutospacing="1"/>
        <w:rPr>
          <w:rFonts w:ascii="Liberation Serif" w:hAnsi="Liberation Serif" w:cs="Liberation Serif"/>
          <w:color w:val="1B1C2A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472440</wp:posOffset>
            </wp:positionV>
            <wp:extent cx="1880870" cy="2628900"/>
            <wp:effectExtent l="19050" t="0" r="5080" b="0"/>
            <wp:wrapSquare wrapText="bothSides"/>
            <wp:docPr id="5" name="Рисунок 5" descr="1678037784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780377848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color w:val="1B1C2A"/>
          <w:sz w:val="28"/>
          <w:szCs w:val="28"/>
        </w:rPr>
        <w:t xml:space="preserve">По </w:t>
      </w:r>
      <w:r w:rsidRPr="00A8744D">
        <w:rPr>
          <w:rFonts w:ascii="Liberation Serif" w:hAnsi="Liberation Serif" w:cs="Liberation Serif"/>
          <w:color w:val="1B1C2A"/>
          <w:sz w:val="28"/>
          <w:szCs w:val="28"/>
        </w:rPr>
        <w:t>характеру педагогического процесса: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обучающие;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тренировочные;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контролирующие;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познавательные;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воспитательные;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развивающие;</w:t>
      </w:r>
    </w:p>
    <w:p w:rsidR="001A2D84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диагностические</w:t>
      </w:r>
      <w:r>
        <w:rPr>
          <w:rFonts w:ascii="Liberation Serif" w:hAnsi="Liberation Serif" w:cs="Liberation Serif"/>
          <w:color w:val="1B1C2A"/>
          <w:sz w:val="28"/>
          <w:szCs w:val="28"/>
        </w:rPr>
        <w:t>.</w:t>
      </w:r>
    </w:p>
    <w:p w:rsidR="001A2D84" w:rsidRPr="00A8744D" w:rsidRDefault="001A2D84" w:rsidP="001A2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iberation Serif" w:hAnsi="Liberation Serif" w:cs="Liberation Serif"/>
          <w:color w:val="1B1C2A"/>
          <w:sz w:val="28"/>
          <w:szCs w:val="28"/>
        </w:rPr>
      </w:pPr>
    </w:p>
    <w:p w:rsidR="001A2D84" w:rsidRPr="00A8744D" w:rsidRDefault="001A2D84" w:rsidP="001A2D8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По характеру игровой методики: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игры с правилами;</w:t>
      </w:r>
      <w:r w:rsidRPr="00A8744D">
        <w:rPr>
          <w:rStyle w:val="a"/>
          <w:rFonts w:ascii="Liberation Serif" w:hAnsi="Liberation Serif" w:cs="Liberation Serif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игры с правилами, устанавливаемыми по ходу игры;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393700</wp:posOffset>
            </wp:positionV>
            <wp:extent cx="2400300" cy="2638425"/>
            <wp:effectExtent l="19050" t="0" r="0" b="0"/>
            <wp:wrapSquare wrapText="bothSides"/>
            <wp:docPr id="2" name="Рисунок 2" descr="1678479119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784791193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744D">
        <w:rPr>
          <w:rFonts w:ascii="Liberation Serif" w:hAnsi="Liberation Serif" w:cs="Liberation Serif"/>
          <w:color w:val="1B1C2A"/>
          <w:sz w:val="28"/>
          <w:szCs w:val="28"/>
        </w:rPr>
        <w:t>игры, где одна часть правил задана условиями игры, а другая устанавливается в зависимости от её хода.</w:t>
      </w:r>
    </w:p>
    <w:p w:rsidR="001A2D84" w:rsidRPr="00A8744D" w:rsidRDefault="001A2D84" w:rsidP="001A2D8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По содержанию: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музыкальные;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математические;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социализирующие;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логические и т. д.</w:t>
      </w:r>
    </w:p>
    <w:p w:rsidR="001A2D84" w:rsidRPr="00A8744D" w:rsidRDefault="001A2D84" w:rsidP="001A2D84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По игровому оборудованию: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настольные;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компьютерные;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театрализованные;</w:t>
      </w:r>
    </w:p>
    <w:p w:rsidR="001A2D84" w:rsidRPr="00A8744D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t>сюжетно-ролевые;</w:t>
      </w:r>
    </w:p>
    <w:p w:rsidR="001A2D84" w:rsidRDefault="001A2D84" w:rsidP="001A2D84">
      <w:pPr>
        <w:numPr>
          <w:ilvl w:val="1"/>
          <w:numId w:val="1"/>
        </w:numPr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Liberation Serif" w:hAnsi="Liberation Serif" w:cs="Liberation Serif"/>
          <w:color w:val="1B1C2A"/>
          <w:sz w:val="28"/>
          <w:szCs w:val="28"/>
        </w:rPr>
      </w:pPr>
      <w:r w:rsidRPr="00A8744D">
        <w:rPr>
          <w:rFonts w:ascii="Liberation Serif" w:hAnsi="Liberation Serif" w:cs="Liberation Serif"/>
          <w:color w:val="1B1C2A"/>
          <w:sz w:val="28"/>
          <w:szCs w:val="28"/>
        </w:rPr>
        <w:lastRenderedPageBreak/>
        <w:t>режиссёрские и т. д.</w:t>
      </w:r>
    </w:p>
    <w:p w:rsidR="001A2D84" w:rsidRPr="00A8744D" w:rsidRDefault="001A2D84" w:rsidP="001A2D84">
      <w:pPr>
        <w:rPr>
          <w:rFonts w:ascii="Liberation Serif" w:hAnsi="Liberation Serif" w:cs="Liberation Serif"/>
          <w:color w:val="1B1C2A"/>
          <w:sz w:val="28"/>
          <w:szCs w:val="28"/>
        </w:rPr>
      </w:pPr>
    </w:p>
    <w:p w:rsidR="001A2D84" w:rsidRPr="00835D3D" w:rsidRDefault="001A2D84" w:rsidP="001A2D84">
      <w:pPr>
        <w:spacing w:after="300"/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Важным условием успешного функционирования игровой технологии является постоянное общение педагога с воспитанниками. Это помогает повысить познавательный интерес и активность детей.</w:t>
      </w:r>
    </w:p>
    <w:p w:rsidR="00551348" w:rsidRDefault="00551348"/>
    <w:sectPr w:rsidR="0055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E0A7E"/>
    <w:multiLevelType w:val="multilevel"/>
    <w:tmpl w:val="5816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D84"/>
    <w:rsid w:val="001A2D84"/>
    <w:rsid w:val="005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2023-05-24T09:19:00Z</dcterms:created>
  <dcterms:modified xsi:type="dcterms:W3CDTF">2023-05-24T09:20:00Z</dcterms:modified>
</cp:coreProperties>
</file>